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Повторите все пройденные за 3 четверть темы по сольфеджио: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Тональность Ми-бемоль мажор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424488" cy="29908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4488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Тритоны в натуральном мажоре</w:t>
      </w:r>
    </w:p>
    <w:p w:rsidR="00000000" w:rsidDel="00000000" w:rsidP="00000000" w:rsidRDefault="00000000" w:rsidRPr="00000000" w14:paraId="00000008">
      <w:pPr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Тритоны</w:t>
      </w:r>
      <w:r w:rsidDel="00000000" w:rsidR="00000000" w:rsidRPr="00000000">
        <w:rPr>
          <w:sz w:val="26"/>
          <w:szCs w:val="26"/>
          <w:rtl w:val="0"/>
        </w:rPr>
        <w:t xml:space="preserve"> в музыке - интервалы, состоящие из 3 тонов.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 тритонам относятся два интервала –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уменьшенная квинта (ум. 5)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увеличенная кварта (ув.4)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Тритоны звучат одинаково, несмотря на разную запись и название. </w:t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мажоре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IV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VII.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Пример построения и разрешения тритонов (ум.5 и ув.4) в натуральном ДО МАЖОРЕ: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805113" cy="120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20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Тональность до минор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195888" cy="2377486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2377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Тритоны в натуральном миноре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МИНОРЕ 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II.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Звуки тритонов в тональности состоят только из неустойчивых звуков, поэтому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неустойчивые звуки тритонов нужно всегда разрешать в устойчивые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! 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Сравните примеры построения и разрешения тритонов в натуральном ДО МАЖОРЕ и в натуральном ЛЯ МИНОРЕ: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523231" cy="204845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3231" cy="20484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по сольфеджио за 3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