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ЭТМ 9 класс от 10.02.23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пройденную тему - ГАРМОНИЧЕСКИЕ ОБОРОТЫ.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Гармонические обороты - сочетание разных аккордов.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Автентический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 и доминанты. (T-D, D-T, T-D-T)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Плагальный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 и субдоминанты. (T-S, S-T, T-S-T)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Полный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тоники, субдоминанты и доминанты c последующим разрешением доминанты в тонику. (T-S-D-T)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Прерванный оборот </w:t>
      </w:r>
      <w:r w:rsidDel="00000000" w:rsidR="00000000" w:rsidRPr="00000000">
        <w:rPr>
          <w:sz w:val="26"/>
          <w:szCs w:val="26"/>
          <w:rtl w:val="0"/>
        </w:rPr>
        <w:t xml:space="preserve">- когда в полном обороте D7 разрешается не в тонику, как принято, а в другой аккорд, чаще всего в VI53.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Примеры построения этих оборотов в До мажоре: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4732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318018" cy="121509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8018" cy="1215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мелодии диктанта, написанного на прошедшем уроке,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построить </w:t>
      </w:r>
      <w:r w:rsidDel="00000000" w:rsidR="00000000" w:rsidRPr="00000000">
        <w:rPr>
          <w:sz w:val="26"/>
          <w:szCs w:val="26"/>
          <w:rtl w:val="0"/>
        </w:rPr>
        <w:t xml:space="preserve">данные аккорды, </w:t>
      </w:r>
      <w:r w:rsidDel="00000000" w:rsidR="00000000" w:rsidRPr="00000000">
        <w:rPr>
          <w:b w:val="1"/>
          <w:sz w:val="26"/>
          <w:szCs w:val="26"/>
          <w:rtl w:val="0"/>
        </w:rPr>
        <w:t xml:space="preserve">указать и подписать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все гармонические обороты</w:t>
      </w:r>
      <w:r w:rsidDel="00000000" w:rsidR="00000000" w:rsidRPr="00000000">
        <w:rPr>
          <w:sz w:val="26"/>
          <w:szCs w:val="26"/>
          <w:rtl w:val="0"/>
        </w:rPr>
        <w:t xml:space="preserve">, которые встречаются в этой мелодии: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2425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Построенные аккорды играть на фортепиано вместе с мелодией</w:t>
      </w:r>
      <w:r w:rsidDel="00000000" w:rsidR="00000000" w:rsidRPr="00000000">
        <w:rPr>
          <w:sz w:val="24"/>
          <w:szCs w:val="24"/>
          <w:rtl w:val="0"/>
        </w:rPr>
        <w:t xml:space="preserve"> двумя руками.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