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тональность - ФА МИНОР (знаки при ключе, ее гамму, t53,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фа минор,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фа минора в восходящем и нисходящем движении, повторить виды минора.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214938" cy="23875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2387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320" w:line="276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В тональности фа минор постройте гармоническую последовательность (последовательность из аккордов)</w:t>
      </w:r>
    </w:p>
    <w:p w:rsidR="00000000" w:rsidDel="00000000" w:rsidP="00000000" w:rsidRDefault="00000000" w:rsidRPr="00000000" w14:paraId="00000009">
      <w:pPr>
        <w:shd w:fill="ffffff" w:val="clear"/>
        <w:spacing w:after="320" w:line="276" w:lineRule="auto"/>
        <w:ind w:left="0" w:firstLine="0"/>
        <w:rPr>
          <w:rFonts w:ascii="Verdana" w:cs="Verdana" w:eastAsia="Verdana" w:hAnsi="Verdana"/>
          <w:sz w:val="23"/>
          <w:szCs w:val="23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        T53   D43   T6   S53   S64   D6   T53    S6   D7   T3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highlight w:val="whit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0A">
      <w:pPr>
        <w:shd w:fill="ffffff" w:val="clear"/>
        <w:spacing w:after="32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i w:val="1"/>
          <w:sz w:val="23"/>
          <w:szCs w:val="23"/>
          <w:highlight w:val="white"/>
          <w:rtl w:val="0"/>
        </w:rPr>
        <w:t xml:space="preserve">Сначала с новой строки подписываете тональность (фа минор), ставите знаки при ключе, затем друг за другом строите и подписываете в фа миноре эти аккорды. Звуки аккордов рисуйте целыми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3"/>
          <w:szCs w:val="23"/>
          <w:highlight w:val="white"/>
          <w:rtl w:val="0"/>
        </w:rPr>
        <w:t xml:space="preserve">нотками, размер ставить не нужно.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Построенные аккорды сыграйте</w:t>
      </w:r>
      <w:r w:rsidDel="00000000" w:rsidR="00000000" w:rsidRPr="00000000">
        <w:rPr>
          <w:sz w:val="26"/>
          <w:szCs w:val="26"/>
          <w:rtl w:val="0"/>
        </w:rPr>
        <w:t xml:space="preserve"> на своем инструменте.</w:t>
      </w:r>
    </w:p>
    <w:p w:rsidR="00000000" w:rsidDel="00000000" w:rsidP="00000000" w:rsidRDefault="00000000" w:rsidRPr="00000000" w14:paraId="0000000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3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