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 обращения D7.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20" w:line="276" w:lineRule="auto"/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Обращение аккорда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3"/>
          <w:szCs w:val="23"/>
          <w:highlight w:val="white"/>
          <w:rtl w:val="0"/>
        </w:rPr>
        <w:t xml:space="preserve">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перенос нижнего звука аккорда на октаву вверх или верхнего на октаву вниз. Мы знаем, что у трезвучия есть 2 обращения - секстаккорд и квартсекстаккорд.</w:t>
      </w:r>
    </w:p>
    <w:p w:rsidR="00000000" w:rsidDel="00000000" w:rsidP="00000000" w:rsidRDefault="00000000" w:rsidRPr="00000000" w14:paraId="00000006">
      <w:pPr>
        <w:shd w:fill="ffffff" w:val="clear"/>
        <w:spacing w:after="320" w:line="276" w:lineRule="auto"/>
        <w:ind w:left="0" w:firstLine="0"/>
        <w:rPr>
          <w:sz w:val="26"/>
          <w:szCs w:val="26"/>
          <w:highlight w:val="whit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У любого септаккорда (и у D7 в том числе) есть 3 обращения: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квинтсекстаккорд, терцквартаккорд, секундаккорд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Отличительной чертой обращений септаккорда является секунда в основании, середине или в конце аккорда.                                                                                        Пример построения D7 с его обращениями в До мажоре:</w:t>
      </w:r>
    </w:p>
    <w:p w:rsidR="00000000" w:rsidDel="00000000" w:rsidP="00000000" w:rsidRDefault="00000000" w:rsidRPr="00000000" w14:paraId="00000007">
      <w:pPr>
        <w:shd w:fill="ffffff" w:val="clear"/>
        <w:spacing w:after="32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881313" cy="17923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179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hd w:fill="ffffff" w:val="clear"/>
        <w:spacing w:after="320" w:lineRule="auto"/>
        <w:rPr>
          <w:i w:val="1"/>
          <w:sz w:val="26"/>
          <w:szCs w:val="26"/>
          <w:highlight w:val="whit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Обратите внимание на то, что у квинтсекстаккорда секунда находится наверху, в конце аккорда, у терцквартаккорда секунда находится в середине аккорда, а секундаккорд начинается с секунды, она у него в самом основании аккорда - поэтому секундаккорд имеет такое название.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Разрешение обращений D7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Т.к. в составе D7 и его обращений есть неустойчивые ступени (VII, II, IV), поэтому эти аккорды необходимо разрешать при построении в тональности. Разрешать = переводить неустойчивые звуки в ближайшие устойчивые. 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u w:val="single"/>
          <w:rtl w:val="0"/>
        </w:rPr>
        <w:t xml:space="preserve">D7 всегда разрешается в неполное тоническое трезвучие (обозначается как Т3).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D65 разрешится в полное Т53 с удвоенной тоникой, D43 - в развернутое Т53, D2 разрешится в Т6. 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Пример разрешения D7 и его обращений в До мажоре: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4824456" cy="11382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56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40" w:lineRule="auto"/>
        <w:ind w:left="720" w:hanging="360"/>
        <w:rPr>
          <w:rFonts w:ascii="Verdana" w:cs="Verdana" w:eastAsia="Verdana" w:hAnsi="Verdana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Построить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в тетради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D7 c обращениями и разрешить их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в следующих тональностях: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Соль мажор, Си-бемоль мажор, Ре мажор, Ми-бемоль мажор.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ind w:left="0" w:firstLine="0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40" w:lineRule="auto"/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Построенные аккорды с разрешениями сыграйте на своем инструменте. Буду проверять на уроке.</w:t>
      </w:r>
    </w:p>
    <w:p w:rsidR="00000000" w:rsidDel="00000000" w:rsidP="00000000" w:rsidRDefault="00000000" w:rsidRPr="00000000" w14:paraId="0000001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8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