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3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пройденную тему - ГАРМОНИЧЕСКИЕ ОБОРОТЫ.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Гармонические обороты - сочетание разных аккордов.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Автентический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доминанты. (T-D, D-T, T-D-T)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Плагальный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субдоминанты. (T-S, S-T, T-S-T)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тоники, субдоминанты и доминанты. (T-S-D-T)</w:t>
      </w:r>
    </w:p>
    <w:p w:rsidR="00000000" w:rsidDel="00000000" w:rsidP="00000000" w:rsidRDefault="00000000" w:rsidRPr="00000000" w14:paraId="00000009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построения этих оборотов в До мажоре</w:t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47320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Выполнить гармонический анализ</w:t>
      </w:r>
      <w:r w:rsidDel="00000000" w:rsidR="00000000" w:rsidRPr="00000000">
        <w:rPr>
          <w:sz w:val="26"/>
          <w:szCs w:val="26"/>
          <w:rtl w:val="0"/>
        </w:rPr>
        <w:t xml:space="preserve"> данного фрагмента в тетради по сольфеджио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указать</w:t>
      </w:r>
      <w:r w:rsidDel="00000000" w:rsidR="00000000" w:rsidRPr="00000000">
        <w:rPr>
          <w:sz w:val="26"/>
          <w:szCs w:val="26"/>
          <w:rtl w:val="0"/>
        </w:rPr>
        <w:t xml:space="preserve">, какие гармонические обороты встречаются в этом примере.</w:t>
      </w:r>
    </w:p>
    <w:p w:rsidR="00000000" w:rsidDel="00000000" w:rsidP="00000000" w:rsidRDefault="00000000" w:rsidRPr="00000000" w14:paraId="00000010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61295" cy="189137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61295" cy="189137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Как мы выполняем гармонический анализ?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Сначала определяем количество тактов и в тетради делаем соответствующую сетку из пустых тактов (как для диктанта на сольфеджио)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тональный план (тональность, отклонения, модуляции)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Определяем функционально каждый аккорд (от какой ступени построен, какой функции этот аккорд)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Особое внимание обращаем на басовый звук аккорда - самый нижний звук аккорда, с помощью него мы можем определить, обращение перед нами или аккорд в основном виде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i w:val="1"/>
          <w:sz w:val="26"/>
          <w:szCs w:val="26"/>
        </w:rPr>
      </w:pPr>
      <w:r w:rsidDel="00000000" w:rsidR="00000000" w:rsidRPr="00000000">
        <w:rPr>
          <w:i w:val="1"/>
          <w:sz w:val="26"/>
          <w:szCs w:val="26"/>
          <w:rtl w:val="0"/>
        </w:rPr>
        <w:t xml:space="preserve">Сколько аккордовых “столбов” - столько обозначений аккордов должно быть записано в тетради, даже если аккорды повторяются и идут друг за другом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