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ЭТМ 9 класс от 25.11.22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построение диатонических интервалов в тональности, строение тритонов, их обращения и разрешения.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56665" cy="319361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6665" cy="31936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 мелодии</w:t>
      </w:r>
      <w:r w:rsidDel="00000000" w:rsidR="00000000" w:rsidRPr="00000000">
        <w:rPr>
          <w:sz w:val="26"/>
          <w:szCs w:val="26"/>
          <w:rtl w:val="0"/>
        </w:rPr>
        <w:t xml:space="preserve"> написанного на прошлом уроке диктанта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присочинить второй голос</w:t>
      </w:r>
      <w:r w:rsidDel="00000000" w:rsidR="00000000" w:rsidRPr="00000000">
        <w:rPr>
          <w:sz w:val="26"/>
          <w:szCs w:val="26"/>
          <w:rtl w:val="0"/>
        </w:rPr>
        <w:t xml:space="preserve"> таким образом, чтобы по вертикали в мелодии присутствовали все диатонические интервалы и хотя бы один тритон.  Интервалы могут повторяться.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