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Подготовиться</w:t>
      </w:r>
      <w:r w:rsidDel="00000000" w:rsidR="00000000" w:rsidRPr="00000000">
        <w:rPr>
          <w:sz w:val="26"/>
          <w:szCs w:val="26"/>
          <w:rtl w:val="0"/>
        </w:rPr>
        <w:t xml:space="preserve"> к контрольной работе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повторить все пройденные за эту четверть темы:</w:t>
      </w:r>
    </w:p>
    <w:p w:rsidR="00000000" w:rsidDel="00000000" w:rsidP="00000000" w:rsidRDefault="00000000" w:rsidRPr="00000000" w14:paraId="00000004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Тональность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Ля мажор</w:t>
      </w:r>
    </w:p>
    <w:p w:rsidR="00000000" w:rsidDel="00000000" w:rsidP="00000000" w:rsidRDefault="00000000" w:rsidRPr="00000000" w14:paraId="00000006">
      <w:pPr>
        <w:ind w:left="0" w:firstLine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</w:rPr>
        <w:drawing>
          <wp:inline distB="114300" distT="114300" distL="114300" distR="114300">
            <wp:extent cx="5731200" cy="17653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6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3 вида мажора</w:t>
      </w:r>
    </w:p>
    <w:p w:rsidR="00000000" w:rsidDel="00000000" w:rsidP="00000000" w:rsidRDefault="00000000" w:rsidRPr="00000000" w14:paraId="00000009">
      <w:pPr>
        <w:ind w:left="0" w:firstLine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</w:rPr>
        <w:drawing>
          <wp:inline distB="114300" distT="114300" distL="114300" distR="114300">
            <wp:extent cx="5715000" cy="22383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38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Тональность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Фа-диез минор</w:t>
      </w:r>
    </w:p>
    <w:p w:rsidR="00000000" w:rsidDel="00000000" w:rsidP="00000000" w:rsidRDefault="00000000" w:rsidRPr="00000000" w14:paraId="0000000C">
      <w:pPr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4796882" cy="2235248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96882" cy="2235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i w:val="1"/>
          <w:sz w:val="26"/>
          <w:szCs w:val="26"/>
          <w:u w:val="none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Транспонирование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Транспонирование -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перенос</w:t>
      </w:r>
      <w:r w:rsidDel="00000000" w:rsidR="00000000" w:rsidRPr="00000000">
        <w:rPr>
          <w:sz w:val="26"/>
          <w:szCs w:val="26"/>
          <w:rtl w:val="0"/>
        </w:rPr>
        <w:t xml:space="preserve"> музыкального произведения из одной тональности в другую или же просто на другую высоту.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ОБРАЗЕЦ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Например</w:t>
      </w:r>
      <w:r w:rsidDel="00000000" w:rsidR="00000000" w:rsidRPr="00000000">
        <w:rPr>
          <w:sz w:val="26"/>
          <w:szCs w:val="26"/>
          <w:rtl w:val="0"/>
        </w:rPr>
        <w:t xml:space="preserve">, посмотрим на мелодию ниже, она записана в тональности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фа-диез минор</w:t>
      </w:r>
      <w:r w:rsidDel="00000000" w:rsidR="00000000" w:rsidRPr="00000000">
        <w:rPr>
          <w:sz w:val="26"/>
          <w:szCs w:val="26"/>
          <w:rtl w:val="0"/>
        </w:rPr>
        <w:t xml:space="preserve">. Нам нужно эту мелодию транспонировать в тональности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ми-минор.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Фа-диез минор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731200" cy="52070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2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rtl w:val="0"/>
        </w:rPr>
        <w:t xml:space="preserve">Тоники этих тональностей - звуки “фа-диез” и “ми” находятся друг от друга на расстоянии большой секунды (б.2). Другими словами, “ми” на б.2 ниже, чем “фа-диез”. 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Поэтому для того, чтобы транспонировать мелодию из фа-диез минора в ми минор, мы просто все звуки исходной мелодии опускаем ниже на б.2.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Не забываем также проставить ключевые знаки новой тональности (ми минор). В итоге наша транспонированная мелодия в готовом виде (в ми миноре) будет выглядеть так:</w:t>
      </w:r>
    </w:p>
    <w:p w:rsidR="00000000" w:rsidDel="00000000" w:rsidP="00000000" w:rsidRDefault="00000000" w:rsidRPr="00000000" w14:paraId="0000001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Ми минор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55880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  <w:i w:val="1"/>
          <w:sz w:val="26"/>
          <w:szCs w:val="26"/>
          <w:u w:val="none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Обращения трезвучий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063608" cy="1712230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3608" cy="1712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8636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Обращаем трезвучие путем переноса его </w:t>
      </w:r>
      <w:r w:rsidDel="00000000" w:rsidR="00000000" w:rsidRPr="00000000">
        <w:rPr>
          <w:b w:val="1"/>
          <w:sz w:val="26"/>
          <w:szCs w:val="26"/>
          <w:rtl w:val="0"/>
        </w:rPr>
        <w:t xml:space="preserve">нижнего звука на октаву вверх</w:t>
      </w:r>
      <w:r w:rsidDel="00000000" w:rsidR="00000000" w:rsidRPr="00000000">
        <w:rPr>
          <w:sz w:val="26"/>
          <w:szCs w:val="26"/>
          <w:rtl w:val="0"/>
        </w:rPr>
        <w:t xml:space="preserve">, средний и верхний звук оставляем на месте, никуда их не переносим. </w:t>
      </w:r>
    </w:p>
    <w:p w:rsidR="00000000" w:rsidDel="00000000" w:rsidP="00000000" w:rsidRDefault="00000000" w:rsidRPr="00000000" w14:paraId="0000001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rtl w:val="0"/>
        </w:rPr>
        <w:t xml:space="preserve">Всего у трезвучия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2 обращения: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Секстаккорд</w:t>
      </w:r>
      <w:r w:rsidDel="00000000" w:rsidR="00000000" w:rsidRPr="00000000">
        <w:rPr>
          <w:sz w:val="26"/>
          <w:szCs w:val="26"/>
          <w:rtl w:val="0"/>
        </w:rPr>
        <w:t xml:space="preserve"> (обозначаем как 6).  Имеет такое название, потому что крайние звуки этого аккорда находятся на расстоянии сексты друг от друга.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Квартсекстаккорд</w:t>
      </w:r>
      <w:r w:rsidDel="00000000" w:rsidR="00000000" w:rsidRPr="00000000">
        <w:rPr>
          <w:sz w:val="26"/>
          <w:szCs w:val="26"/>
          <w:rtl w:val="0"/>
        </w:rPr>
        <w:t xml:space="preserve"> (обозначаем как 64). У него крайние звуки тоже находятся на расстоянии сексты друг от друга, и кроме этого, расстояние между нижним и средним звуком квартсекстаккорда равно кварте, этим объясняется цифра 4 в обозначении этого аккорда.</w:t>
      </w:r>
    </w:p>
    <w:p w:rsidR="00000000" w:rsidDel="00000000" w:rsidP="00000000" w:rsidRDefault="00000000" w:rsidRPr="00000000" w14:paraId="00000023">
      <w:pPr>
        <w:ind w:left="0" w:firstLine="0"/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Пример построения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Б53 с обращениями от ноты “До”</w:t>
      </w:r>
      <w:r w:rsidDel="00000000" w:rsidR="00000000" w:rsidRPr="00000000">
        <w:rPr>
          <w:i w:val="1"/>
          <w:sz w:val="26"/>
          <w:szCs w:val="26"/>
          <w:rtl w:val="0"/>
        </w:rPr>
        <w:t xml:space="preserve">: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162550" cy="2000250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00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33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4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2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4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